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C6D" w:rsidRDefault="00362C6D" w:rsidP="00362C6D">
      <w:pPr>
        <w:spacing w:after="240"/>
      </w:pPr>
      <w:bookmarkStart w:id="0" w:name="_GoBack"/>
      <w:bookmarkEnd w:id="0"/>
    </w:p>
    <w:p w:rsidR="00362C6D" w:rsidRDefault="00362C6D" w:rsidP="00362C6D"/>
    <w:tbl>
      <w:tblPr>
        <w:tblW w:w="0" w:type="auto"/>
        <w:tblLook w:val="04A0" w:firstRow="1" w:lastRow="0" w:firstColumn="1" w:lastColumn="0" w:noHBand="0" w:noVBand="1"/>
      </w:tblPr>
      <w:tblGrid>
        <w:gridCol w:w="3358"/>
        <w:gridCol w:w="2175"/>
        <w:gridCol w:w="3539"/>
      </w:tblGrid>
      <w:tr w:rsidR="00362C6D" w:rsidTr="00362C6D">
        <w:trPr>
          <w:trHeight w:val="317"/>
        </w:trPr>
        <w:tc>
          <w:tcPr>
            <w:tcW w:w="0" w:type="auto"/>
            <w:tcBorders>
              <w:top w:val="nil"/>
              <w:left w:val="nil"/>
              <w:bottom w:val="single" w:sz="8" w:space="0" w:color="660066"/>
              <w:right w:val="nil"/>
            </w:tcBorders>
            <w:vAlign w:val="center"/>
            <w:hideMark/>
          </w:tcPr>
          <w:p w:rsidR="00362C6D" w:rsidRDefault="00362C6D">
            <w:pPr>
              <w:pStyle w:val="NormalWeb"/>
              <w:spacing w:before="0" w:beforeAutospacing="0" w:after="0" w:afterAutospacing="0"/>
              <w:rPr>
                <w:lang w:eastAsia="en-US"/>
              </w:rPr>
            </w:pPr>
            <w:r>
              <w:rPr>
                <w:color w:val="000000"/>
                <w:sz w:val="22"/>
                <w:szCs w:val="22"/>
                <w:lang w:eastAsia="en-US"/>
              </w:rPr>
              <w:t>30 May  2020 SATURDAY</w:t>
            </w:r>
          </w:p>
        </w:tc>
        <w:tc>
          <w:tcPr>
            <w:tcW w:w="0" w:type="auto"/>
            <w:tcBorders>
              <w:top w:val="nil"/>
              <w:left w:val="nil"/>
              <w:bottom w:val="single" w:sz="8" w:space="0" w:color="660066"/>
              <w:right w:val="nil"/>
            </w:tcBorders>
            <w:vAlign w:val="center"/>
            <w:hideMark/>
          </w:tcPr>
          <w:p w:rsidR="00362C6D" w:rsidRDefault="00362C6D">
            <w:pPr>
              <w:pStyle w:val="NormalWeb"/>
              <w:spacing w:before="0" w:beforeAutospacing="0" w:after="0" w:afterAutospacing="0"/>
              <w:jc w:val="center"/>
              <w:rPr>
                <w:lang w:eastAsia="en-US"/>
              </w:rPr>
            </w:pPr>
            <w:r>
              <w:rPr>
                <w:b/>
                <w:bCs/>
                <w:color w:val="000000"/>
                <w:sz w:val="22"/>
                <w:szCs w:val="22"/>
                <w:lang w:eastAsia="en-US"/>
              </w:rPr>
              <w:t>Official Journal</w:t>
            </w:r>
          </w:p>
        </w:tc>
        <w:tc>
          <w:tcPr>
            <w:tcW w:w="0" w:type="auto"/>
            <w:tcBorders>
              <w:top w:val="nil"/>
              <w:left w:val="nil"/>
              <w:bottom w:val="single" w:sz="8" w:space="0" w:color="660066"/>
              <w:right w:val="nil"/>
            </w:tcBorders>
            <w:vAlign w:val="center"/>
            <w:hideMark/>
          </w:tcPr>
          <w:p w:rsidR="00362C6D" w:rsidRDefault="00362C6D">
            <w:pPr>
              <w:pStyle w:val="NormalWeb"/>
              <w:spacing w:before="0" w:beforeAutospacing="0" w:after="160" w:afterAutospacing="0"/>
              <w:jc w:val="center"/>
              <w:rPr>
                <w:lang w:eastAsia="en-US"/>
              </w:rPr>
            </w:pPr>
            <w:r>
              <w:rPr>
                <w:color w:val="000000"/>
                <w:sz w:val="22"/>
                <w:szCs w:val="22"/>
                <w:lang w:eastAsia="en-US"/>
              </w:rPr>
              <w:t>                        No : 31140</w:t>
            </w:r>
          </w:p>
        </w:tc>
      </w:tr>
      <w:tr w:rsidR="00362C6D" w:rsidTr="00362C6D">
        <w:trPr>
          <w:trHeight w:val="480"/>
        </w:trPr>
        <w:tc>
          <w:tcPr>
            <w:tcW w:w="0" w:type="auto"/>
            <w:gridSpan w:val="3"/>
            <w:tcBorders>
              <w:top w:val="single" w:sz="8" w:space="0" w:color="660066"/>
              <w:left w:val="nil"/>
              <w:bottom w:val="nil"/>
              <w:right w:val="nil"/>
            </w:tcBorders>
            <w:vAlign w:val="center"/>
          </w:tcPr>
          <w:p w:rsidR="00362C6D" w:rsidRDefault="00362C6D">
            <w:pPr>
              <w:pStyle w:val="NormalWeb"/>
              <w:spacing w:before="0" w:beforeAutospacing="0" w:after="0" w:afterAutospacing="0"/>
              <w:jc w:val="center"/>
              <w:rPr>
                <w:lang w:eastAsia="en-US"/>
              </w:rPr>
            </w:pPr>
            <w:r>
              <w:rPr>
                <w:b/>
                <w:bCs/>
                <w:color w:val="000000"/>
                <w:sz w:val="22"/>
                <w:szCs w:val="22"/>
                <w:lang w:eastAsia="en-US"/>
              </w:rPr>
              <w:t>COMMUNIQUE</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From the Ministry of Trade :</w:t>
            </w:r>
          </w:p>
          <w:p w:rsidR="00362C6D" w:rsidRDefault="00362C6D">
            <w:pPr>
              <w:pStyle w:val="NormalWeb"/>
              <w:spacing w:before="0" w:beforeAutospacing="0" w:after="0" w:afterAutospacing="0"/>
              <w:jc w:val="center"/>
              <w:rPr>
                <w:lang w:eastAsia="en-US"/>
              </w:rPr>
            </w:pPr>
            <w:r>
              <w:rPr>
                <w:b/>
                <w:bCs/>
                <w:color w:val="000000"/>
                <w:sz w:val="22"/>
                <w:szCs w:val="22"/>
                <w:lang w:eastAsia="en-US"/>
              </w:rPr>
              <w:br/>
              <w:t>COMMUNIQUE ON SAFEGUARD MEASURES IN IMPORTS </w:t>
            </w:r>
          </w:p>
          <w:p w:rsidR="00362C6D" w:rsidRDefault="00362C6D">
            <w:pPr>
              <w:pStyle w:val="NormalWeb"/>
              <w:spacing w:before="0" w:beforeAutospacing="0" w:after="0" w:afterAutospacing="0"/>
              <w:jc w:val="center"/>
              <w:rPr>
                <w:lang w:eastAsia="en-US"/>
              </w:rPr>
            </w:pPr>
            <w:r>
              <w:rPr>
                <w:b/>
                <w:bCs/>
                <w:color w:val="000000"/>
                <w:sz w:val="22"/>
                <w:szCs w:val="22"/>
                <w:lang w:eastAsia="en-US"/>
              </w:rPr>
              <w:t>(COMMUNIQUE NO: 2020/4)</w:t>
            </w:r>
          </w:p>
        </w:tc>
      </w:tr>
      <w:tr w:rsidR="00362C6D" w:rsidTr="00362C6D">
        <w:trPr>
          <w:trHeight w:val="480"/>
        </w:trPr>
        <w:tc>
          <w:tcPr>
            <w:tcW w:w="0" w:type="auto"/>
            <w:gridSpan w:val="3"/>
            <w:vAlign w:val="center"/>
          </w:tcPr>
          <w:p w:rsidR="00362C6D" w:rsidRDefault="00362C6D">
            <w:pPr>
              <w:spacing w:after="240"/>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Purpose and scope </w:t>
            </w:r>
          </w:p>
          <w:p w:rsidR="00362C6D" w:rsidRDefault="00362C6D">
            <w:pPr>
              <w:pStyle w:val="NormalWeb"/>
              <w:spacing w:before="0" w:beforeAutospacing="0" w:after="200" w:afterAutospacing="0"/>
              <w:ind w:firstLine="566"/>
              <w:jc w:val="both"/>
              <w:rPr>
                <w:lang w:eastAsia="en-US"/>
              </w:rPr>
            </w:pPr>
            <w:r>
              <w:rPr>
                <w:b/>
                <w:bCs/>
                <w:color w:val="000000"/>
                <w:sz w:val="22"/>
                <w:szCs w:val="22"/>
                <w:lang w:eastAsia="en-US"/>
              </w:rPr>
              <w:t>ARTICLE 1 –</w:t>
            </w:r>
            <w:r>
              <w:rPr>
                <w:color w:val="000000"/>
                <w:sz w:val="22"/>
                <w:szCs w:val="22"/>
                <w:lang w:eastAsia="en-US"/>
              </w:rPr>
              <w:t> (1)The purpose of this Communiqué is to initiate  an investigation as a result of the application made by domestic producers for the implementation of Safeguard Measures for the imports of products classified under the HS Code 5503.20.00.00.00 with the  definition of "From Polyesters" , and the determination of the rules and procedures of the investigation to be carried out by the Ministry of Trade (Ministry) Directorate General of Imports (Directorate General). </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Preliminary Examination</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2 – (1)</w:t>
            </w:r>
            <w:r>
              <w:rPr>
                <w:color w:val="000000"/>
                <w:sz w:val="22"/>
                <w:szCs w:val="22"/>
                <w:lang w:eastAsia="en-US"/>
              </w:rPr>
              <w:t>During the preliminary examination based on the said application; it has been determined that  the imports of the products concerned increased recently and  some of the economic indicators such as profitability of the domestic  producers, capacity utilization rate and stocks  were deteriorated. </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Decision </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3  –  </w:t>
            </w:r>
            <w:r>
              <w:rPr>
                <w:color w:val="000000"/>
                <w:sz w:val="22"/>
                <w:szCs w:val="22"/>
                <w:lang w:eastAsia="en-US"/>
              </w:rPr>
              <w:t>(1) Within the framework of the provisions of the Regulation on the Safeguard Measures in Imports (Regulation) published in the Official Journal dated 8/6/2004 and No:25486, the Board of Evaluation of Safeguard Measures in Imports has decided unanimously to initiate a safeguard investigation. </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Conducting the investigation </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4 – </w:t>
            </w:r>
            <w:r>
              <w:rPr>
                <w:color w:val="000000"/>
                <w:sz w:val="22"/>
                <w:szCs w:val="22"/>
                <w:lang w:eastAsia="en-US"/>
              </w:rPr>
              <w:t>(1) Pursuant to the relevant provisions of the Regulation, the investigation shall be carried out by the Directorate General. All correspondence concerning the investigation shall be made with the competent authority herewith:</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Republic of Turkey Ministry of Trade</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Directorate General of Imports</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Department of Safeguard Measures</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Söğütözü Mah. 2176. Sk. No:63 06530 Çankaya/Ankara</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Tel: +90 312 204 9942, 9293, 9937, 9952   Fax: +90 312 204 86 33 </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 xml:space="preserve">Website : : </w:t>
            </w:r>
            <w:hyperlink r:id="rId4" w:tgtFrame="_blank" w:history="1">
              <w:r>
                <w:rPr>
                  <w:rStyle w:val="Hyperlink"/>
                  <w:sz w:val="22"/>
                  <w:szCs w:val="22"/>
                  <w:lang w:eastAsia="en-US"/>
                </w:rPr>
                <w:t>http://www.ticaret.gov.tr</w:t>
              </w:r>
            </w:hyperlink>
            <w:r>
              <w:rPr>
                <w:color w:val="000000"/>
                <w:sz w:val="22"/>
                <w:szCs w:val="22"/>
                <w:lang w:eastAsia="en-US"/>
              </w:rPr>
              <w:t xml:space="preserve">   E-mail: </w:t>
            </w:r>
            <w:hyperlink r:id="rId5" w:tgtFrame="_blank" w:history="1">
              <w:r>
                <w:rPr>
                  <w:rStyle w:val="Hyperlink"/>
                  <w:color w:val="000000"/>
                  <w:sz w:val="22"/>
                  <w:szCs w:val="22"/>
                  <w:lang w:eastAsia="en-US"/>
                </w:rPr>
                <w:t>korunma@ticaret.gov.tr</w:t>
              </w:r>
            </w:hyperlink>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(2) During the investigation “those who want to be interested parties from companies, institutions and organizations established in Turkey” are required to submit their responses to the questionnaires along with their official views to the KEP address of the Ministry from their official KEP addresses.</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 xml:space="preserve">Ministry of Trade  KEP Address: </w:t>
            </w:r>
            <w:hyperlink r:id="rId6" w:tgtFrame="_blank" w:history="1">
              <w:r>
                <w:rPr>
                  <w:rStyle w:val="Hyperlink"/>
                  <w:sz w:val="22"/>
                  <w:szCs w:val="22"/>
                  <w:lang w:eastAsia="en-US"/>
                </w:rPr>
                <w:t>ekonomi@hs01.kep.tr</w:t>
              </w:r>
            </w:hyperlink>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(3) During the investigation “those who want to be interested parties from companies, institutions and organizations abroad” are required to submit their responses to the questionnaires along with their official views to the Ministry's e-mail address below:</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 xml:space="preserve">Directorate General  EBYS e-mail address: </w:t>
            </w:r>
            <w:hyperlink r:id="rId7" w:tgtFrame="_blank" w:history="1">
              <w:r>
                <w:rPr>
                  <w:rStyle w:val="Hyperlink"/>
                  <w:color w:val="000000"/>
                  <w:sz w:val="22"/>
                  <w:szCs w:val="22"/>
                  <w:lang w:eastAsia="en-US"/>
                </w:rPr>
                <w:t>korunma@ticaret.gov.tr</w:t>
              </w:r>
            </w:hyperlink>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lastRenderedPageBreak/>
              <w:t>Interested parties </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5 – </w:t>
            </w:r>
            <w:r>
              <w:rPr>
                <w:color w:val="000000"/>
                <w:sz w:val="22"/>
                <w:szCs w:val="22"/>
                <w:lang w:eastAsia="en-US"/>
              </w:rPr>
              <w:t>(1) Those who submit the relevant questionnaire at the link address mentioned in the first paragraph of Article 6 within 30 (thirty) days from the date of publication of this Communiqué to the Directorate General shall be considered as “interested party” in the scope of the investigation.</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Submission of questionnaires, opinions and information</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6 – </w:t>
            </w:r>
            <w:r>
              <w:rPr>
                <w:color w:val="000000"/>
                <w:sz w:val="22"/>
                <w:szCs w:val="22"/>
                <w:lang w:eastAsia="en-US"/>
              </w:rPr>
              <w:t>(1) Questionnaires related to the investigation can be downloaded from the investigation page on the “Korunma Önlemleri/Soruşturmalar” link of “Ticaret Politikası Savunma Araçları” page under the heading “Teşkilat/İthalat Genel Müdürlüğü” on the Ministry's website (</w:t>
            </w:r>
            <w:hyperlink r:id="rId8" w:tgtFrame="_blank" w:history="1">
              <w:r>
                <w:rPr>
                  <w:rStyle w:val="Hyperlink"/>
                  <w:sz w:val="22"/>
                  <w:szCs w:val="22"/>
                  <w:lang w:eastAsia="en-US"/>
                </w:rPr>
                <w:t>http://www.ticaret.gov.tr</w:t>
              </w:r>
            </w:hyperlink>
            <w:r>
              <w:rPr>
                <w:color w:val="000000"/>
                <w:sz w:val="22"/>
                <w:szCs w:val="22"/>
                <w:lang w:eastAsia="en-US"/>
              </w:rPr>
              <w:t>).</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(2) The interested parties are required to fill in the questionnaire within 30 (thirty) days from the date of publication of this Communiqué and forward it to the Directorate General. It is possible to contact the Directorate General regarding the filling of questionnaires by the interested parties.</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(3) Written and oral communication about the investigation is done in Turkish. The answers to the questionnaire and all the information, documents, opinions and requests of the interested parties other than the answers should be presented in writing in Turkish. The answers, information, documents, opinions and requests presented in a language other than Turkish are not taken into consideration. </w:t>
            </w:r>
          </w:p>
          <w:p w:rsidR="00362C6D" w:rsidRDefault="00362C6D">
            <w:pPr>
              <w:pStyle w:val="NormalWeb"/>
              <w:spacing w:before="0" w:beforeAutospacing="0" w:after="0" w:afterAutospacing="0"/>
              <w:ind w:firstLine="566"/>
              <w:jc w:val="both"/>
              <w:rPr>
                <w:lang w:eastAsia="en-US"/>
              </w:rPr>
            </w:pPr>
            <w:r>
              <w:rPr>
                <w:color w:val="000000"/>
                <w:sz w:val="22"/>
                <w:szCs w:val="22"/>
                <w:lang w:eastAsia="en-US"/>
              </w:rPr>
              <w:t>(4) If considered necessary, the Directorate General may request additional information and documents from the parties concerned.</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Hearings regarding the interested parties</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7 – </w:t>
            </w:r>
            <w:r>
              <w:rPr>
                <w:color w:val="000000"/>
                <w:sz w:val="22"/>
                <w:szCs w:val="22"/>
                <w:lang w:eastAsia="en-US"/>
              </w:rPr>
              <w:t>(1) Interested parties shall also send requests for oral hearing, if any, to the competent authority by indicating in their responses to the interested party questionnaire. Where requested, the place and date of the hearing meeting to be held and other announcements related to the investigation will be publicized on the website of the Ministry specified in the first paragraph of the Article 6.</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Confidentiality</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8 – </w:t>
            </w:r>
            <w:r>
              <w:rPr>
                <w:color w:val="000000"/>
                <w:sz w:val="22"/>
                <w:szCs w:val="22"/>
                <w:lang w:eastAsia="en-US"/>
              </w:rPr>
              <w:t>(1) The information provided by the interested parties during the investigation is considered confidential within the framework of the provisions of Article 6 of the Regulation. </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Non-submission of information or providing incorrect information</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9 – </w:t>
            </w:r>
            <w:r>
              <w:rPr>
                <w:color w:val="000000"/>
                <w:sz w:val="22"/>
                <w:szCs w:val="22"/>
                <w:lang w:eastAsia="en-US"/>
              </w:rPr>
              <w:t>(1) According to Article 4 of the Regulation, if the information requested by the Directorate General at any stage of the inquiry cannot be obtained within the prescribed time, or if it is understood that the investigation is impeded, the investigation shall be concluded on the basis of the facts available. In cases where the Directorate General has found that the information provided by the parties concerned is incorrect, this information will not be taken into account. </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The duration of the investigation</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10 – </w:t>
            </w:r>
            <w:r>
              <w:rPr>
                <w:color w:val="000000"/>
                <w:sz w:val="22"/>
                <w:szCs w:val="22"/>
                <w:lang w:eastAsia="en-US"/>
              </w:rPr>
              <w:t>(1) The investigation shall be carried out by the Directorate General and completed within 9 (nine) months. Where necessary, this period may be extended by 6 (six) months. </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Take into effect</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11 – </w:t>
            </w:r>
            <w:r>
              <w:rPr>
                <w:color w:val="000000"/>
                <w:sz w:val="22"/>
                <w:szCs w:val="22"/>
                <w:lang w:eastAsia="en-US"/>
              </w:rPr>
              <w:t>(1) This Communiqué shall enter into force on the date of its publication.</w:t>
            </w:r>
          </w:p>
          <w:p w:rsidR="00362C6D" w:rsidRDefault="00362C6D">
            <w:pPr>
              <w:rPr>
                <w:lang w:eastAsia="en-US"/>
              </w:rPr>
            </w:pP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Enforcement</w:t>
            </w:r>
          </w:p>
          <w:p w:rsidR="00362C6D" w:rsidRDefault="00362C6D">
            <w:pPr>
              <w:pStyle w:val="NormalWeb"/>
              <w:spacing w:before="0" w:beforeAutospacing="0" w:after="0" w:afterAutospacing="0"/>
              <w:ind w:firstLine="566"/>
              <w:jc w:val="both"/>
              <w:rPr>
                <w:lang w:eastAsia="en-US"/>
              </w:rPr>
            </w:pPr>
            <w:r>
              <w:rPr>
                <w:b/>
                <w:bCs/>
                <w:color w:val="000000"/>
                <w:sz w:val="22"/>
                <w:szCs w:val="22"/>
                <w:lang w:eastAsia="en-US"/>
              </w:rPr>
              <w:t>ARTICLE 12 – </w:t>
            </w:r>
            <w:r>
              <w:rPr>
                <w:color w:val="000000"/>
                <w:sz w:val="22"/>
                <w:szCs w:val="22"/>
                <w:lang w:eastAsia="en-US"/>
              </w:rPr>
              <w:t>(1) The provisions of this Communiqué shall be executed by the Minister of Trade.</w:t>
            </w:r>
          </w:p>
        </w:tc>
      </w:tr>
    </w:tbl>
    <w:p w:rsidR="006A3058" w:rsidRDefault="00362C6D"/>
    <w:sectPr w:rsidR="006A3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6D"/>
    <w:rsid w:val="001908A3"/>
    <w:rsid w:val="00362C6D"/>
    <w:rsid w:val="00BE0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258DB-DA34-4D45-8C13-63314EFE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C6D"/>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C6D"/>
    <w:rPr>
      <w:color w:val="0000FF"/>
      <w:u w:val="single"/>
    </w:rPr>
  </w:style>
  <w:style w:type="paragraph" w:styleId="NormalWeb">
    <w:name w:val="Normal (Web)"/>
    <w:basedOn w:val="Normal"/>
    <w:uiPriority w:val="99"/>
    <w:semiHidden/>
    <w:unhideWhenUsed/>
    <w:rsid w:val="00362C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aret.gov.tr" TargetMode="External"/><Relationship Id="rId3" Type="http://schemas.openxmlformats.org/officeDocument/2006/relationships/webSettings" Target="webSettings.xml"/><Relationship Id="rId7" Type="http://schemas.openxmlformats.org/officeDocument/2006/relationships/hyperlink" Target="mailto:korunma@ekonomi.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onomi@hs01.kep.tr" TargetMode="External"/><Relationship Id="rId5" Type="http://schemas.openxmlformats.org/officeDocument/2006/relationships/hyperlink" Target="mailto:korunma@ekonomi.gov.tr" TargetMode="External"/><Relationship Id="rId10" Type="http://schemas.openxmlformats.org/officeDocument/2006/relationships/theme" Target="theme/theme1.xml"/><Relationship Id="rId4" Type="http://schemas.openxmlformats.org/officeDocument/2006/relationships/hyperlink" Target="http://www.ticaret.gov.t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Baskin</dc:creator>
  <cp:keywords/>
  <dc:description/>
  <cp:lastModifiedBy>Serdar Baskin</cp:lastModifiedBy>
  <cp:revision>1</cp:revision>
  <dcterms:created xsi:type="dcterms:W3CDTF">2020-06-03T05:20:00Z</dcterms:created>
  <dcterms:modified xsi:type="dcterms:W3CDTF">2020-06-03T05:24:00Z</dcterms:modified>
</cp:coreProperties>
</file>